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34" w:rsidRDefault="00884A34" w:rsidP="00584CD1">
      <w:pPr>
        <w:keepNext/>
        <w:keepLines/>
        <w:spacing w:before="480" w:after="0" w:line="240" w:lineRule="auto"/>
        <w:jc w:val="right"/>
        <w:outlineLvl w:val="0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Депутатам </w:t>
      </w:r>
      <w:proofErr w:type="spellStart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Обухівської</w:t>
      </w:r>
      <w:proofErr w:type="spellEnd"/>
      <w:r w:rsidR="00584CD1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міської</w:t>
      </w:r>
      <w:proofErr w:type="spellEnd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ради VIII </w:t>
      </w:r>
      <w:proofErr w:type="spellStart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скликання</w:t>
      </w:r>
      <w:proofErr w:type="spellEnd"/>
    </w:p>
    <w:p w:rsidR="00CB7CBB" w:rsidRPr="00CB7CBB" w:rsidRDefault="00CB7CBB" w:rsidP="00D722AB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Пояснювальна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записка</w:t>
      </w: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br/>
        <w:t xml:space="preserve">до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проєкту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рішення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Обухівської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міської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ради</w:t>
      </w:r>
      <w:r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:</w:t>
      </w:r>
    </w:p>
    <w:p w:rsidR="00CB7CBB" w:rsidRPr="00CB7CBB" w:rsidRDefault="00CB7CBB" w:rsidP="00CB7CBB">
      <w:pPr>
        <w:spacing w:after="200" w:line="276" w:lineRule="auto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затвердження</w:t>
      </w:r>
      <w:proofErr w:type="spellEnd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виконання</w:t>
      </w:r>
      <w:proofErr w:type="spellEnd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к</w:t>
      </w: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омплексної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питань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будівництва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реконструкції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капітального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ремонту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об’єктів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власності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Обухівської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</w:t>
      </w:r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ромади</w:t>
      </w:r>
      <w:proofErr w:type="spellEnd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Київської</w:t>
      </w:r>
      <w:proofErr w:type="spellEnd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області</w:t>
      </w:r>
      <w:proofErr w:type="spellEnd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2021–2025</w:t>
      </w: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роки</w:t>
      </w:r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за 2025 </w:t>
      </w:r>
      <w:proofErr w:type="spellStart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рік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»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1.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Стратегічний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контекст та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актуальність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>виконання</w:t>
      </w:r>
      <w:proofErr w:type="spellEnd"/>
      <w:r w:rsidR="00534A5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к</w:t>
      </w:r>
      <w:bookmarkStart w:id="0" w:name="_GoBack"/>
      <w:bookmarkEnd w:id="0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омплексної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питань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будівництва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реконструкції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капітального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ремонту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об’єктів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власності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важливим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інструментом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реалізації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стратегічних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пріоритетів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розвитку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Обухівської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громади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спрямована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формування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сучасної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стійкої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безпечної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що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відповідає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потребам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мешканців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громади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викликам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середньострокового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розвитку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2. Проблематика, яку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вирішує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Програма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Наявний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значної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частини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об’єктів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власності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характеризується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високим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рівнем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фізичного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зносу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застарілими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технічними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рішеннями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недостатнім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рівнем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енергоефективності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Це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негативно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впливає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якість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надання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публічних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послуг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інвестиційну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привабливість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громади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рівень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довіри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мешканців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органів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місцевого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3. Мета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у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контексті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розвитку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громади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Метою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збалансованого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розвитку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Обухівської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громади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шляхом системного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оновлення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об’єктів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власності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підвищення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їх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функціональності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безпеки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доступності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4.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Стратегічні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пріоритети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підходи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ґрунтується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принципах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стратегічного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планування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прозорості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результативності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Основними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стратегічними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пріоритетами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є:</w:t>
      </w: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br/>
        <w:t>–</w:t>
      </w:r>
      <w:proofErr w:type="gram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концентрація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ресурсів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соціально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значущих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об’єктах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;</w:t>
      </w: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br/>
        <w:t xml:space="preserve">–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поетапна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реалізація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проєктів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фінансових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бюджету;</w:t>
      </w: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br/>
        <w:t xml:space="preserve">–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енергоефективних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інноваційних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рішень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;</w:t>
      </w:r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br/>
        <w:t xml:space="preserve">–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розвиток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безбар’єрного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інклюзивного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середовища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5.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Фінансова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політика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інструменти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реалізації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Програма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створює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рамкові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умови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планування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бюджетних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видатків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середньостроковій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перспективі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залучення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додаткових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фінансових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ресурсів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числі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коштів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державного бюджету,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міжнародної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технічної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допомоги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інвестиційних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lastRenderedPageBreak/>
        <w:t xml:space="preserve">6.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Очікуваний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соціально-економічний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ефект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Реалізація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забезпечить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підвищення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якості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життя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мешканців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громади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створення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безпечного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комфортного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життєвого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простору,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зростання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бюджетних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коштів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посилення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інституційної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спроможності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громади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7.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Управління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політична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відповідальність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Виконання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виконавчими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органами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ради в межах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визначених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реалізацією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покладається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постійні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комісії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міської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що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забезпечує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політичну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публічну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підзвітність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CB7CBB" w:rsidRPr="00CB7CBB" w:rsidRDefault="00CB7CBB" w:rsidP="00CB7CBB">
      <w:pPr>
        <w:keepNext/>
        <w:keepLines/>
        <w:spacing w:before="200" w:after="0" w:line="276" w:lineRule="auto"/>
        <w:outlineLvl w:val="1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8. Нормативно-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правове</w:t>
      </w:r>
      <w:proofErr w:type="spellEnd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забезпечення</w:t>
      </w:r>
      <w:proofErr w:type="spellEnd"/>
    </w:p>
    <w:p w:rsidR="00CB7CBB" w:rsidRPr="00CB7CBB" w:rsidRDefault="00CB7CBB" w:rsidP="00CB7CBB">
      <w:pPr>
        <w:spacing w:after="20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Проєкт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рішення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розроблено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відповідно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України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Законів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України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місцеве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Україні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державні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цільові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», Бюджетного кодексу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України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інших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правових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актів</w:t>
      </w:r>
      <w:proofErr w:type="spellEnd"/>
      <w:r w:rsidRPr="00CB7CBB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:rsidR="001541D2" w:rsidRDefault="001541D2"/>
    <w:p w:rsidR="00C764D9" w:rsidRPr="00C764D9" w:rsidRDefault="00C764D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Начальник управління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Володимир ФЕДЧИШИН</w:t>
      </w:r>
    </w:p>
    <w:sectPr w:rsidR="00C764D9" w:rsidRPr="00C764D9" w:rsidSect="009A4866">
      <w:pgSz w:w="11906" w:h="16838" w:code="9"/>
      <w:pgMar w:top="426" w:right="850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3D"/>
    <w:rsid w:val="001541D2"/>
    <w:rsid w:val="002502BF"/>
    <w:rsid w:val="00534A57"/>
    <w:rsid w:val="00584CD1"/>
    <w:rsid w:val="00884A34"/>
    <w:rsid w:val="009A4866"/>
    <w:rsid w:val="009D373D"/>
    <w:rsid w:val="00C764D9"/>
    <w:rsid w:val="00CB7CBB"/>
    <w:rsid w:val="00D7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13581-53DF-4930-8A6D-60186CF8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VKB0</dc:creator>
  <cp:keywords/>
  <dc:description/>
  <cp:lastModifiedBy>УКБ-9</cp:lastModifiedBy>
  <cp:revision>3</cp:revision>
  <dcterms:created xsi:type="dcterms:W3CDTF">2025-12-17T08:31:00Z</dcterms:created>
  <dcterms:modified xsi:type="dcterms:W3CDTF">2026-02-12T12:27:00Z</dcterms:modified>
</cp:coreProperties>
</file>